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tbl>
      <w:tblPr>
        <w:tblStyle w:val="TableGrid"/>
        <w:tblpPr w:leftFromText="181" w:rightFromText="181" w:vertAnchor="page" w:horzAnchor="margin" w:tblpY="1441"/>
        <w:tblW w:w="9067" w:type="dxa"/>
        <w:tblLook w:val="04A0"/>
      </w:tblPr>
      <w:tblGrid>
        <w:gridCol w:w="9067"/>
      </w:tblGrid>
      <w:tr w:rsidTr="00CA18AE">
        <w:tblPrEx>
          <w:tblW w:w="9067" w:type="dxa"/>
          <w:tblLook w:val="04A0"/>
        </w:tblPrEx>
        <w:trPr>
          <w:trHeight w:val="511"/>
        </w:trPr>
        <w:tc>
          <w:tcPr>
            <w:tcW w:w="9067" w:type="dxa"/>
          </w:tcPr>
          <w:p w:rsidR="004E02A4" w:rsidRPr="004E02A4" w:rsidP="00CA18AE">
            <w:pPr>
              <w:rPr>
                <w:rFonts w:ascii="Arial" w:hAnsi="Arial" w:cs="Arial"/>
                <w:b/>
                <w:sz w:val="24"/>
                <w:szCs w:val="24"/>
              </w:rPr>
            </w:pPr>
            <w:r w:rsidRPr="004E02A4">
              <w:rPr>
                <w:rFonts w:ascii="Arial" w:hAnsi="Arial" w:cs="Arial"/>
                <w:b/>
                <w:sz w:val="24"/>
                <w:szCs w:val="24"/>
              </w:rPr>
              <w:t>Cabinet Member</w:t>
            </w:r>
          </w:p>
          <w:p w:rsidR="004E02A4" w:rsidRPr="009E4B43" w:rsidP="00CA18AE">
            <w:pPr>
              <w:rPr>
                <w:rFonts w:ascii="Arial" w:hAnsi="Arial" w:cs="Arial"/>
              </w:rPr>
            </w:pPr>
            <w:r>
              <w:rPr>
                <w:rFonts w:ascii="Arial" w:hAnsi="Arial" w:cs="Arial"/>
              </w:rPr>
              <w:t>Leader of the County Council</w:t>
            </w:r>
          </w:p>
        </w:tc>
      </w:tr>
      <w:tr w:rsidTr="00CA18AE">
        <w:tblPrEx>
          <w:tblW w:w="9067" w:type="dxa"/>
          <w:tblLook w:val="04A0"/>
        </w:tblPrEx>
        <w:trPr>
          <w:trHeight w:val="522"/>
        </w:trPr>
        <w:tc>
          <w:tcPr>
            <w:tcW w:w="9067" w:type="dxa"/>
          </w:tcPr>
          <w:p w:rsidR="004E02A4" w:rsidRPr="004E02A4" w:rsidP="00CA18AE">
            <w:pPr>
              <w:rPr>
                <w:rFonts w:ascii="Arial" w:hAnsi="Arial" w:cs="Arial"/>
                <w:b/>
                <w:sz w:val="24"/>
                <w:szCs w:val="24"/>
              </w:rPr>
            </w:pPr>
            <w:r w:rsidRPr="004E02A4">
              <w:rPr>
                <w:rFonts w:ascii="Arial" w:hAnsi="Arial" w:cs="Arial"/>
                <w:b/>
                <w:sz w:val="24"/>
                <w:szCs w:val="24"/>
              </w:rPr>
              <w:t>Procurement Title</w:t>
            </w:r>
          </w:p>
          <w:p w:rsidR="004E02A4" w:rsidRPr="009E4B43" w:rsidP="00C84D01">
            <w:pPr>
              <w:rPr>
                <w:rFonts w:ascii="Arial" w:hAnsi="Arial" w:cs="Arial"/>
              </w:rPr>
            </w:pPr>
            <w:r w:rsidRPr="009E4B43">
              <w:rPr>
                <w:rFonts w:ascii="Arial" w:hAnsi="Arial" w:cs="Arial"/>
              </w:rPr>
              <w:t xml:space="preserve">Procurement for </w:t>
            </w:r>
            <w:r>
              <w:rPr>
                <w:rFonts w:ascii="Arial" w:hAnsi="Arial" w:cs="Arial"/>
              </w:rPr>
              <w:t>a Preston Youth Zone (PYZ) Operator</w:t>
            </w:r>
          </w:p>
        </w:tc>
      </w:tr>
      <w:tr w:rsidTr="00CA18AE">
        <w:tblPrEx>
          <w:tblW w:w="9067" w:type="dxa"/>
          <w:tblLook w:val="04A0"/>
        </w:tblPrEx>
        <w:trPr>
          <w:trHeight w:val="511"/>
        </w:trPr>
        <w:tc>
          <w:tcPr>
            <w:tcW w:w="9067" w:type="dxa"/>
          </w:tcPr>
          <w:p w:rsidR="004E02A4" w:rsidRPr="004E02A4" w:rsidP="00CA18AE">
            <w:pPr>
              <w:rPr>
                <w:rFonts w:ascii="Arial" w:hAnsi="Arial" w:cs="Arial"/>
                <w:b/>
                <w:sz w:val="24"/>
                <w:szCs w:val="24"/>
              </w:rPr>
            </w:pPr>
            <w:r w:rsidRPr="004E02A4">
              <w:rPr>
                <w:rFonts w:ascii="Arial" w:hAnsi="Arial" w:cs="Arial"/>
                <w:b/>
                <w:sz w:val="24"/>
                <w:szCs w:val="24"/>
              </w:rPr>
              <w:t>Procurement Option</w:t>
            </w:r>
          </w:p>
          <w:p w:rsidR="004E02A4" w:rsidRPr="006D606D" w:rsidP="00CA18AE">
            <w:pPr>
              <w:rPr>
                <w:rFonts w:ascii="Arial" w:hAnsi="Arial" w:cs="Arial"/>
              </w:rPr>
            </w:pPr>
            <w:r>
              <w:rPr>
                <w:rFonts w:ascii="Arial" w:hAnsi="Arial" w:cs="Arial"/>
              </w:rPr>
              <w:t xml:space="preserve">Concession Contract (Governed by the Concession Contracts Regulations 2016) </w:t>
            </w:r>
          </w:p>
        </w:tc>
      </w:tr>
      <w:tr w:rsidTr="00CA18AE">
        <w:tblPrEx>
          <w:tblW w:w="9067" w:type="dxa"/>
          <w:tblLook w:val="04A0"/>
        </w:tblPrEx>
        <w:trPr>
          <w:trHeight w:val="511"/>
        </w:trPr>
        <w:tc>
          <w:tcPr>
            <w:tcW w:w="9067" w:type="dxa"/>
          </w:tcPr>
          <w:p w:rsidR="004E02A4" w:rsidRPr="004E02A4" w:rsidP="00CA18AE">
            <w:pPr>
              <w:rPr>
                <w:rFonts w:ascii="Arial" w:hAnsi="Arial" w:cs="Arial"/>
                <w:b/>
                <w:sz w:val="24"/>
                <w:szCs w:val="24"/>
              </w:rPr>
            </w:pPr>
            <w:r w:rsidRPr="004E02A4">
              <w:rPr>
                <w:rFonts w:ascii="Arial" w:hAnsi="Arial" w:cs="Arial"/>
                <w:b/>
                <w:sz w:val="24"/>
                <w:szCs w:val="24"/>
              </w:rPr>
              <w:t>New or Existing Provision</w:t>
            </w:r>
          </w:p>
          <w:p w:rsidR="004E02A4" w:rsidRPr="006D606D" w:rsidP="00CA18AE">
            <w:pPr>
              <w:rPr>
                <w:rFonts w:ascii="Arial" w:hAnsi="Arial" w:cs="Arial"/>
              </w:rPr>
            </w:pPr>
            <w:r>
              <w:rPr>
                <w:rFonts w:ascii="Arial" w:hAnsi="Arial" w:cs="Arial"/>
              </w:rPr>
              <w:t>New</w:t>
            </w:r>
          </w:p>
        </w:tc>
      </w:tr>
      <w:tr w:rsidTr="00CA18AE">
        <w:tblPrEx>
          <w:tblW w:w="9067" w:type="dxa"/>
          <w:tblLook w:val="04A0"/>
        </w:tblPrEx>
        <w:trPr>
          <w:trHeight w:val="802"/>
        </w:trPr>
        <w:tc>
          <w:tcPr>
            <w:tcW w:w="9067" w:type="dxa"/>
          </w:tcPr>
          <w:p w:rsidR="004E02A4" w:rsidRPr="004E02A4" w:rsidP="00CA18AE">
            <w:pPr>
              <w:rPr>
                <w:rFonts w:ascii="Arial" w:hAnsi="Arial" w:cs="Arial"/>
                <w:b/>
                <w:sz w:val="24"/>
                <w:szCs w:val="24"/>
              </w:rPr>
            </w:pPr>
            <w:r w:rsidRPr="004E02A4">
              <w:rPr>
                <w:rFonts w:ascii="Arial" w:hAnsi="Arial" w:cs="Arial"/>
                <w:b/>
                <w:sz w:val="24"/>
                <w:szCs w:val="24"/>
              </w:rPr>
              <w:t>Estimated</w:t>
            </w:r>
            <w:r>
              <w:rPr>
                <w:rFonts w:ascii="Arial" w:hAnsi="Arial" w:cs="Arial"/>
                <w:b/>
                <w:sz w:val="24"/>
                <w:szCs w:val="24"/>
              </w:rPr>
              <w:t xml:space="preserve"> Annual</w:t>
            </w:r>
            <w:r w:rsidRPr="004E02A4">
              <w:rPr>
                <w:rFonts w:ascii="Arial" w:hAnsi="Arial" w:cs="Arial"/>
                <w:b/>
                <w:sz w:val="24"/>
                <w:szCs w:val="24"/>
              </w:rPr>
              <w:t xml:space="preserve"> </w:t>
            </w:r>
            <w:r>
              <w:rPr>
                <w:rFonts w:ascii="Arial" w:hAnsi="Arial" w:cs="Arial"/>
                <w:b/>
                <w:sz w:val="24"/>
                <w:szCs w:val="24"/>
              </w:rPr>
              <w:t xml:space="preserve">Contract </w:t>
            </w:r>
            <w:r w:rsidRPr="004E02A4">
              <w:rPr>
                <w:rFonts w:ascii="Arial" w:hAnsi="Arial" w:cs="Arial"/>
                <w:b/>
                <w:sz w:val="24"/>
                <w:szCs w:val="24"/>
              </w:rPr>
              <w:t>Value and Funding Arrangements</w:t>
            </w:r>
          </w:p>
          <w:p w:rsidR="004E02A4" w:rsidRPr="009E4B43" w:rsidP="006C41D0">
            <w:pPr>
              <w:jc w:val="both"/>
              <w:rPr>
                <w:rFonts w:ascii="Arial" w:hAnsi="Arial" w:cs="Arial"/>
              </w:rPr>
            </w:pPr>
            <w:r w:rsidRPr="009E4B43">
              <w:rPr>
                <w:rFonts w:ascii="Arial" w:hAnsi="Arial" w:cs="Arial"/>
              </w:rPr>
              <w:t xml:space="preserve">Unknown. </w:t>
            </w:r>
          </w:p>
          <w:p w:rsidR="00447160" w:rsidP="00CA18AE">
            <w:pPr>
              <w:rPr>
                <w:rFonts w:ascii="Arial" w:hAnsi="Arial" w:cs="Arial"/>
              </w:rPr>
            </w:pPr>
            <w:r>
              <w:rPr>
                <w:rFonts w:ascii="Arial" w:hAnsi="Arial" w:cs="Arial"/>
              </w:rPr>
              <w:t>The County Council will provide a maximum revenue contribution of £150k per annum for an initial term of 10 years, as well as a lease arrangement of a building on Preston Bus Station</w:t>
            </w:r>
            <w:r>
              <w:rPr>
                <w:rFonts w:ascii="Arial" w:hAnsi="Arial" w:cs="Arial"/>
              </w:rPr>
              <w:t xml:space="preserve"> at a peppercorn rent.</w:t>
            </w:r>
          </w:p>
          <w:p w:rsidR="0065295B" w:rsidRPr="004E02A4" w:rsidP="009716B1">
            <w:pPr>
              <w:rPr>
                <w:rFonts w:ascii="Arial" w:hAnsi="Arial" w:cs="Arial"/>
                <w:sz w:val="24"/>
                <w:szCs w:val="24"/>
              </w:rPr>
            </w:pPr>
            <w:r>
              <w:rPr>
                <w:rFonts w:ascii="Arial" w:hAnsi="Arial" w:cs="Arial"/>
              </w:rPr>
              <w:t>The successful tenderer will be required to provide a £1million contribution to the capital costs of construction and cover the remaining costs associated with the management and operation of PYZ.</w:t>
            </w:r>
          </w:p>
        </w:tc>
      </w:tr>
      <w:tr w:rsidTr="00CA18AE">
        <w:tblPrEx>
          <w:tblW w:w="9067" w:type="dxa"/>
          <w:tblLook w:val="04A0"/>
        </w:tblPrEx>
        <w:trPr>
          <w:trHeight w:val="1034"/>
        </w:trPr>
        <w:tc>
          <w:tcPr>
            <w:tcW w:w="9067" w:type="dxa"/>
          </w:tcPr>
          <w:p w:rsidR="009565B8" w:rsidP="00CA18AE">
            <w:pPr>
              <w:rPr>
                <w:rFonts w:ascii="Arial" w:hAnsi="Arial" w:cs="Arial"/>
                <w:b/>
                <w:sz w:val="24"/>
                <w:szCs w:val="24"/>
              </w:rPr>
            </w:pPr>
            <w:r>
              <w:rPr>
                <w:rFonts w:ascii="Arial" w:hAnsi="Arial" w:cs="Arial"/>
                <w:b/>
                <w:sz w:val="24"/>
                <w:szCs w:val="24"/>
              </w:rPr>
              <w:t>Contract Duration</w:t>
            </w:r>
          </w:p>
          <w:p w:rsidR="006D606D" w:rsidP="006C41D0">
            <w:pPr>
              <w:jc w:val="both"/>
              <w:rPr>
                <w:rFonts w:ascii="Arial" w:hAnsi="Arial" w:cs="Arial"/>
              </w:rPr>
            </w:pPr>
            <w:r w:rsidRPr="009E4B43">
              <w:rPr>
                <w:rFonts w:ascii="Arial" w:hAnsi="Arial" w:cs="Arial"/>
              </w:rPr>
              <w:t>The contract will</w:t>
            </w:r>
            <w:r w:rsidRPr="009E4B43">
              <w:rPr>
                <w:rFonts w:ascii="Arial" w:hAnsi="Arial" w:cs="Arial"/>
              </w:rPr>
              <w:t xml:space="preserve"> be let for an initial period of </w:t>
            </w:r>
            <w:r w:rsidRPr="00AB4B90">
              <w:rPr>
                <w:rFonts w:ascii="Arial" w:hAnsi="Arial" w:cs="Arial"/>
              </w:rPr>
              <w:t>10 years.</w:t>
            </w:r>
            <w:r w:rsidRPr="009E4B43">
              <w:rPr>
                <w:rFonts w:ascii="Arial" w:hAnsi="Arial" w:cs="Arial"/>
              </w:rPr>
              <w:t xml:space="preserve"> Under the provisions of the Concession Contracts Regulations 2016, the contract durat</w:t>
            </w:r>
            <w:r>
              <w:rPr>
                <w:rFonts w:ascii="Arial" w:hAnsi="Arial" w:cs="Arial"/>
              </w:rPr>
              <w:t xml:space="preserve">ion may exceed the initial term, </w:t>
            </w:r>
            <w:r w:rsidRPr="009E4B43">
              <w:rPr>
                <w:rFonts w:ascii="Arial" w:hAnsi="Arial" w:cs="Arial"/>
              </w:rPr>
              <w:t xml:space="preserve">until such time that the provider has been able to recoup the investments made in operation </w:t>
            </w:r>
            <w:r>
              <w:rPr>
                <w:rFonts w:ascii="Arial" w:hAnsi="Arial" w:cs="Arial"/>
              </w:rPr>
              <w:t xml:space="preserve">of </w:t>
            </w:r>
            <w:r w:rsidRPr="009E4B43">
              <w:rPr>
                <w:rFonts w:ascii="Arial" w:hAnsi="Arial" w:cs="Arial"/>
              </w:rPr>
              <w:t xml:space="preserve">the works, together with a return on invested capital, taking into account the investments required to achieve the specific contract objectives. In any event, </w:t>
            </w:r>
            <w:r>
              <w:rPr>
                <w:rFonts w:ascii="Arial" w:hAnsi="Arial" w:cs="Arial"/>
              </w:rPr>
              <w:t>the contract term will not exceed</w:t>
            </w:r>
            <w:r w:rsidRPr="009E4B43">
              <w:rPr>
                <w:rFonts w:ascii="Arial" w:hAnsi="Arial" w:cs="Arial"/>
              </w:rPr>
              <w:t xml:space="preserve"> a maximum duration of </w:t>
            </w:r>
            <w:r w:rsidRPr="009716B1">
              <w:rPr>
                <w:rFonts w:ascii="Arial" w:hAnsi="Arial" w:cs="Arial"/>
              </w:rPr>
              <w:t>25 years.</w:t>
            </w:r>
          </w:p>
          <w:p w:rsidR="006C41D0" w:rsidRPr="009E4B43" w:rsidP="006C41D0">
            <w:pPr>
              <w:jc w:val="both"/>
              <w:rPr>
                <w:rFonts w:ascii="Arial" w:hAnsi="Arial" w:cs="Arial"/>
                <w:color w:val="FF0000"/>
              </w:rPr>
            </w:pPr>
          </w:p>
        </w:tc>
      </w:tr>
      <w:tr w:rsidTr="00CA18AE">
        <w:tblPrEx>
          <w:tblW w:w="9067" w:type="dxa"/>
          <w:tblLook w:val="04A0"/>
        </w:tblPrEx>
        <w:trPr>
          <w:trHeight w:val="943"/>
        </w:trPr>
        <w:tc>
          <w:tcPr>
            <w:tcW w:w="9067" w:type="dxa"/>
          </w:tcPr>
          <w:p w:rsidR="004E02A4" w:rsidRPr="004E02A4" w:rsidP="00CA18AE">
            <w:pPr>
              <w:rPr>
                <w:rFonts w:ascii="Arial" w:hAnsi="Arial" w:cs="Arial"/>
                <w:b/>
                <w:sz w:val="24"/>
                <w:szCs w:val="24"/>
              </w:rPr>
            </w:pPr>
            <w:r w:rsidRPr="004E02A4">
              <w:rPr>
                <w:rFonts w:ascii="Arial" w:hAnsi="Arial" w:cs="Arial"/>
                <w:b/>
                <w:sz w:val="24"/>
                <w:szCs w:val="24"/>
              </w:rPr>
              <w:t>Lotting</w:t>
            </w:r>
          </w:p>
          <w:p w:rsidR="00FE6409" w:rsidRPr="009E4B43" w:rsidP="00CA18AE">
            <w:pPr>
              <w:rPr>
                <w:rFonts w:ascii="Arial" w:hAnsi="Arial" w:cs="Arial"/>
              </w:rPr>
            </w:pPr>
            <w:r w:rsidRPr="009E4B43">
              <w:rPr>
                <w:rFonts w:ascii="Arial" w:hAnsi="Arial" w:cs="Arial"/>
              </w:rPr>
              <w:t>Not Applicable – In t</w:t>
            </w:r>
            <w:r w:rsidRPr="009E4B43">
              <w:rPr>
                <w:rFonts w:ascii="Arial" w:hAnsi="Arial" w:cs="Arial"/>
              </w:rPr>
              <w:t>he interests of consistent service delivery, the contract will not be divided into lots.</w:t>
            </w:r>
          </w:p>
        </w:tc>
      </w:tr>
      <w:tr w:rsidTr="00CA18AE">
        <w:tblPrEx>
          <w:tblW w:w="9067" w:type="dxa"/>
          <w:tblLook w:val="04A0"/>
        </w:tblPrEx>
        <w:trPr>
          <w:trHeight w:val="4818"/>
        </w:trPr>
        <w:tc>
          <w:tcPr>
            <w:tcW w:w="9067" w:type="dxa"/>
          </w:tcPr>
          <w:p w:rsidR="004E02A4" w:rsidP="00CA18AE">
            <w:pPr>
              <w:rPr>
                <w:rFonts w:ascii="Arial" w:hAnsi="Arial" w:cs="Arial"/>
                <w:b/>
                <w:sz w:val="24"/>
                <w:szCs w:val="24"/>
              </w:rPr>
            </w:pPr>
            <w:r w:rsidRPr="004E02A4">
              <w:rPr>
                <w:rFonts w:ascii="Arial" w:hAnsi="Arial" w:cs="Arial"/>
                <w:b/>
                <w:sz w:val="24"/>
                <w:szCs w:val="24"/>
              </w:rPr>
              <w:t>Evaluation</w:t>
            </w:r>
          </w:p>
          <w:p w:rsidR="0008573D" w:rsidRPr="004E02A4" w:rsidP="00CA18AE">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3063"/>
            </w:tblGrid>
            <w:tr w:rsidTr="0071323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01"/>
              </w:trPr>
              <w:tc>
                <w:tcPr>
                  <w:tcW w:w="2972" w:type="dxa"/>
                  <w:shd w:val="clear" w:color="auto" w:fill="auto"/>
                  <w:vAlign w:val="center"/>
                </w:tcPr>
                <w:p w:rsidR="009565B8" w:rsidRPr="009565B8" w:rsidP="00E84F82">
                  <w:pPr>
                    <w:framePr w:hSpace="181" w:wrap="around" w:vAnchor="page" w:hAnchor="margin" w:y="1441"/>
                    <w:spacing w:after="0" w:line="240" w:lineRule="auto"/>
                    <w:rPr>
                      <w:rFonts w:ascii="Arial" w:eastAsia="Times New Roman" w:hAnsi="Arial" w:cs="Times New Roman"/>
                      <w:i/>
                      <w:sz w:val="24"/>
                      <w:szCs w:val="20"/>
                      <w:lang w:eastAsia="en-GB"/>
                    </w:rPr>
                  </w:pPr>
                  <w:r>
                    <w:rPr>
                      <w:rFonts w:ascii="Arial-BoldMT" w:eastAsia="Times New Roman" w:hAnsi="Arial-BoldMT" w:cs="Arial-BoldMT"/>
                      <w:b/>
                      <w:bCs/>
                      <w:i/>
                      <w:sz w:val="24"/>
                      <w:szCs w:val="24"/>
                      <w:lang w:eastAsia="en-GB"/>
                    </w:rPr>
                    <w:t>Quality Criteria 70</w:t>
                  </w:r>
                  <w:r w:rsidRPr="009565B8">
                    <w:rPr>
                      <w:rFonts w:ascii="Arial-BoldMT" w:eastAsia="Times New Roman" w:hAnsi="Arial-BoldMT" w:cs="Arial-BoldMT"/>
                      <w:b/>
                      <w:bCs/>
                      <w:i/>
                      <w:sz w:val="24"/>
                      <w:szCs w:val="24"/>
                      <w:lang w:eastAsia="en-GB"/>
                    </w:rPr>
                    <w:t>%</w:t>
                  </w:r>
                </w:p>
              </w:tc>
              <w:tc>
                <w:tcPr>
                  <w:tcW w:w="3063" w:type="dxa"/>
                  <w:shd w:val="clear" w:color="auto" w:fill="auto"/>
                  <w:vAlign w:val="center"/>
                </w:tcPr>
                <w:p w:rsidR="009565B8" w:rsidRPr="009565B8" w:rsidP="00E84F82">
                  <w:pPr>
                    <w:framePr w:hSpace="181" w:wrap="around" w:vAnchor="page" w:hAnchor="margin" w:y="1441"/>
                    <w:spacing w:after="0" w:line="240" w:lineRule="auto"/>
                    <w:rPr>
                      <w:rFonts w:ascii="Arial" w:eastAsia="Times New Roman" w:hAnsi="Arial" w:cs="Times New Roman"/>
                      <w:i/>
                      <w:sz w:val="24"/>
                      <w:szCs w:val="20"/>
                      <w:lang w:eastAsia="en-GB"/>
                    </w:rPr>
                  </w:pPr>
                  <w:r>
                    <w:rPr>
                      <w:rFonts w:ascii="Arial-BoldMT" w:eastAsia="Times New Roman" w:hAnsi="Arial-BoldMT" w:cs="Arial-BoldMT"/>
                      <w:b/>
                      <w:bCs/>
                      <w:i/>
                      <w:sz w:val="24"/>
                      <w:szCs w:val="24"/>
                      <w:lang w:eastAsia="en-GB"/>
                    </w:rPr>
                    <w:t>Financial Criteria 3</w:t>
                  </w:r>
                  <w:r w:rsidRPr="009565B8">
                    <w:rPr>
                      <w:rFonts w:ascii="Arial-BoldMT" w:eastAsia="Times New Roman" w:hAnsi="Arial-BoldMT" w:cs="Arial-BoldMT"/>
                      <w:b/>
                      <w:bCs/>
                      <w:i/>
                      <w:sz w:val="24"/>
                      <w:szCs w:val="24"/>
                      <w:lang w:eastAsia="en-GB"/>
                    </w:rPr>
                    <w:t>0%</w:t>
                  </w:r>
                </w:p>
              </w:tc>
            </w:tr>
          </w:tbl>
          <w:p w:rsidR="004E02A4" w:rsidRPr="004E02A4" w:rsidP="00CA18AE">
            <w:pPr>
              <w:rPr>
                <w:rFonts w:ascii="Arial" w:hAnsi="Arial" w:cs="Arial"/>
                <w:b/>
                <w:sz w:val="24"/>
                <w:szCs w:val="24"/>
              </w:rPr>
            </w:pPr>
          </w:p>
          <w:p w:rsidR="0008573D" w:rsidP="00DF4EDD">
            <w:pPr>
              <w:jc w:val="both"/>
              <w:rPr>
                <w:rFonts w:ascii="Arial" w:hAnsi="Arial" w:cs="Arial"/>
              </w:rPr>
            </w:pPr>
            <w:r>
              <w:rPr>
                <w:rFonts w:ascii="Arial" w:hAnsi="Arial" w:cs="Arial"/>
              </w:rPr>
              <w:t>Social Value will account for 10</w:t>
            </w:r>
            <w:r w:rsidRPr="009E4B43">
              <w:rPr>
                <w:rFonts w:ascii="Arial" w:hAnsi="Arial" w:cs="Arial"/>
              </w:rPr>
              <w:t>% of th</w:t>
            </w:r>
            <w:r>
              <w:rPr>
                <w:rFonts w:ascii="Arial" w:hAnsi="Arial" w:cs="Arial"/>
              </w:rPr>
              <w:t xml:space="preserve">e quality criteria focusing on all </w:t>
            </w:r>
            <w:r w:rsidRPr="009E4B43">
              <w:rPr>
                <w:rFonts w:ascii="Arial" w:hAnsi="Arial" w:cs="Arial"/>
              </w:rPr>
              <w:t>social value objectives</w:t>
            </w:r>
            <w:r>
              <w:rPr>
                <w:rFonts w:ascii="Arial" w:hAnsi="Arial" w:cs="Arial"/>
              </w:rPr>
              <w:t>.</w:t>
            </w:r>
          </w:p>
          <w:p w:rsidR="009716B1" w:rsidP="00DF4EDD">
            <w:pPr>
              <w:jc w:val="both"/>
              <w:rPr>
                <w:rFonts w:ascii="Arial" w:hAnsi="Arial" w:cs="Arial"/>
              </w:rPr>
            </w:pPr>
          </w:p>
          <w:p w:rsidR="009716B1" w:rsidRPr="009E4B43" w:rsidP="00AB4B90">
            <w:pPr>
              <w:jc w:val="both"/>
              <w:rPr>
                <w:rFonts w:ascii="Arial" w:hAnsi="Arial" w:cs="Arial"/>
                <w:i/>
                <w:color w:val="FF0000"/>
              </w:rPr>
            </w:pPr>
            <w:r>
              <w:rPr>
                <w:rFonts w:ascii="Arial" w:hAnsi="Arial" w:cs="Arial"/>
              </w:rPr>
              <w:t xml:space="preserve">The </w:t>
            </w:r>
            <w:r>
              <w:rPr>
                <w:rFonts w:ascii="Arial" w:hAnsi="Arial" w:cs="Arial"/>
              </w:rPr>
              <w:t>proposed funding model submitted by the bidders will form the basis of evaluating the Financial Criteria.</w:t>
            </w:r>
          </w:p>
        </w:tc>
      </w:tr>
      <w:tr w:rsidTr="00CA18AE">
        <w:tblPrEx>
          <w:tblW w:w="9067" w:type="dxa"/>
          <w:tblLook w:val="04A0"/>
        </w:tblPrEx>
        <w:trPr>
          <w:trHeight w:val="7361"/>
        </w:trPr>
        <w:tc>
          <w:tcPr>
            <w:tcW w:w="9067" w:type="dxa"/>
          </w:tcPr>
          <w:p w:rsidR="004E02A4" w:rsidP="00CA18AE">
            <w:pPr>
              <w:rPr>
                <w:rFonts w:ascii="Arial" w:hAnsi="Arial" w:cs="Arial"/>
                <w:b/>
                <w:sz w:val="24"/>
                <w:szCs w:val="24"/>
              </w:rPr>
            </w:pPr>
            <w:r w:rsidRPr="004E02A4">
              <w:rPr>
                <w:rFonts w:ascii="Arial" w:hAnsi="Arial" w:cs="Arial"/>
                <w:b/>
                <w:sz w:val="24"/>
                <w:szCs w:val="24"/>
              </w:rPr>
              <w:t>Contract Detail</w:t>
            </w:r>
          </w:p>
          <w:p w:rsidR="001E04BC" w:rsidP="00CA18AE">
            <w:pPr>
              <w:rPr>
                <w:rFonts w:ascii="Arial" w:hAnsi="Arial" w:cs="Arial"/>
                <w:b/>
                <w:sz w:val="24"/>
                <w:szCs w:val="24"/>
              </w:rPr>
            </w:pPr>
          </w:p>
          <w:p w:rsidR="001E04BC" w:rsidP="001E04BC">
            <w:pPr>
              <w:tabs>
                <w:tab w:val="left" w:pos="0"/>
                <w:tab w:val="left" w:pos="993"/>
              </w:tabs>
              <w:ind w:right="175"/>
              <w:jc w:val="both"/>
              <w:rPr>
                <w:rFonts w:ascii="Arial" w:hAnsi="Arial" w:cs="Arial"/>
              </w:rPr>
            </w:pPr>
            <w:r>
              <w:rPr>
                <w:rFonts w:ascii="Arial" w:hAnsi="Arial" w:cs="Arial"/>
              </w:rPr>
              <w:t>A compliant procurement exercise is  required</w:t>
            </w:r>
            <w:r>
              <w:rPr>
                <w:rFonts w:ascii="Arial" w:hAnsi="Arial" w:cs="Arial"/>
              </w:rPr>
              <w:t xml:space="preserve"> to support the Council's application of State Aid exemptions which would be applicable to such a project due to the nature of leasing the building for a peppercorn rent, and revenue contributions from the Council. </w:t>
            </w:r>
          </w:p>
          <w:p w:rsidR="00930723" w:rsidRPr="004E02A4" w:rsidP="00CA18AE">
            <w:pPr>
              <w:rPr>
                <w:rFonts w:ascii="Arial" w:hAnsi="Arial" w:cs="Arial"/>
                <w:b/>
                <w:sz w:val="24"/>
                <w:szCs w:val="24"/>
              </w:rPr>
            </w:pPr>
          </w:p>
          <w:p w:rsidR="000C35D3" w:rsidP="00CA18AE">
            <w:pPr>
              <w:tabs>
                <w:tab w:val="left" w:pos="0"/>
                <w:tab w:val="left" w:pos="993"/>
              </w:tabs>
              <w:ind w:right="175"/>
              <w:jc w:val="both"/>
              <w:rPr>
                <w:rFonts w:ascii="Arial" w:hAnsi="Arial" w:cs="Arial"/>
              </w:rPr>
            </w:pPr>
            <w:r>
              <w:rPr>
                <w:rFonts w:ascii="Arial" w:hAnsi="Arial" w:cs="Arial"/>
              </w:rPr>
              <w:t xml:space="preserve">Preston Youth Zone (PYZ) is a project </w:t>
            </w:r>
            <w:r>
              <w:rPr>
                <w:rFonts w:ascii="Arial" w:hAnsi="Arial" w:cs="Arial"/>
              </w:rPr>
              <w:t>that forms part of the larger programme of activity that is taking place in the regeneration of the Preston Bus Station and multi-storey car park.</w:t>
            </w:r>
          </w:p>
          <w:p w:rsidR="00464DA5" w:rsidP="00CA18AE">
            <w:pPr>
              <w:tabs>
                <w:tab w:val="left" w:pos="0"/>
                <w:tab w:val="left" w:pos="993"/>
              </w:tabs>
              <w:ind w:right="175"/>
              <w:jc w:val="both"/>
              <w:rPr>
                <w:rFonts w:ascii="Arial" w:hAnsi="Arial" w:cs="Arial"/>
              </w:rPr>
            </w:pPr>
          </w:p>
          <w:p w:rsidR="00464DA5" w:rsidP="00CA18AE">
            <w:pPr>
              <w:tabs>
                <w:tab w:val="left" w:pos="0"/>
                <w:tab w:val="left" w:pos="993"/>
              </w:tabs>
              <w:ind w:right="175"/>
              <w:jc w:val="both"/>
              <w:rPr>
                <w:rFonts w:ascii="Arial" w:hAnsi="Arial" w:cs="Arial"/>
              </w:rPr>
            </w:pPr>
            <w:r>
              <w:rPr>
                <w:rFonts w:ascii="Arial" w:hAnsi="Arial" w:cs="Arial"/>
              </w:rPr>
              <w:t>PYZ can be described as co-locating universal positive activities for young people with targeted services fo</w:t>
            </w:r>
            <w:r>
              <w:rPr>
                <w:rFonts w:ascii="Arial" w:hAnsi="Arial" w:cs="Arial"/>
              </w:rPr>
              <w:t>r those young people seeking specialist support, creating a progressive development of an already tried and tested Youth Zone concept.</w:t>
            </w:r>
          </w:p>
          <w:p w:rsidR="000C35D3" w:rsidP="00CA18AE">
            <w:pPr>
              <w:tabs>
                <w:tab w:val="left" w:pos="0"/>
                <w:tab w:val="left" w:pos="993"/>
              </w:tabs>
              <w:ind w:right="175"/>
              <w:jc w:val="both"/>
              <w:rPr>
                <w:rFonts w:ascii="Arial" w:hAnsi="Arial" w:cs="Arial"/>
              </w:rPr>
            </w:pPr>
          </w:p>
          <w:p w:rsidR="000C35D3" w:rsidP="00AB4B90">
            <w:pPr>
              <w:tabs>
                <w:tab w:val="left" w:pos="0"/>
                <w:tab w:val="left" w:pos="993"/>
              </w:tabs>
              <w:ind w:right="175"/>
              <w:jc w:val="both"/>
              <w:rPr>
                <w:rFonts w:ascii="Arial" w:hAnsi="Arial" w:cs="Arial"/>
              </w:rPr>
            </w:pPr>
            <w:r>
              <w:rPr>
                <w:rFonts w:ascii="Arial" w:hAnsi="Arial" w:cs="Arial"/>
              </w:rPr>
              <w:t xml:space="preserve">PYZ is to be co-located with the County Council's Youth Offending Team (YOT) in a freestanding building, sitting at the </w:t>
            </w:r>
            <w:r>
              <w:rPr>
                <w:rFonts w:ascii="Arial" w:hAnsi="Arial" w:cs="Arial"/>
              </w:rPr>
              <w:t xml:space="preserve">furthest possible point away from the existing Preston Bus Station and multi-storey Car Park. The building is split into three levels and will host a variety of spaces including sports hall, kick pitch, boxing ring, climbing wall, dance, music and fitness </w:t>
            </w:r>
            <w:r>
              <w:rPr>
                <w:rFonts w:ascii="Arial" w:hAnsi="Arial" w:cs="Arial"/>
              </w:rPr>
              <w:t xml:space="preserve">studios, changing rooms, reception area and café. YOT will have its own dedicated space within the building with an element of 'shared space' with PYZ such as </w:t>
            </w:r>
            <w:r>
              <w:rPr>
                <w:rFonts w:ascii="Arial" w:hAnsi="Arial" w:cs="Arial"/>
              </w:rPr>
              <w:t xml:space="preserve">the reception area and </w:t>
            </w:r>
            <w:r>
              <w:rPr>
                <w:rFonts w:ascii="Arial" w:hAnsi="Arial" w:cs="Arial"/>
              </w:rPr>
              <w:t>toilet facilities.</w:t>
            </w:r>
          </w:p>
          <w:p w:rsidR="000C35D3" w:rsidP="00AB4B90">
            <w:pPr>
              <w:tabs>
                <w:tab w:val="left" w:pos="0"/>
                <w:tab w:val="left" w:pos="993"/>
              </w:tabs>
              <w:ind w:right="175"/>
              <w:jc w:val="both"/>
              <w:rPr>
                <w:rFonts w:ascii="Arial" w:hAnsi="Arial" w:cs="Arial"/>
              </w:rPr>
            </w:pPr>
          </w:p>
          <w:p w:rsidR="00E57FEC" w:rsidP="00AB4B90">
            <w:pPr>
              <w:tabs>
                <w:tab w:val="left" w:pos="0"/>
                <w:tab w:val="left" w:pos="993"/>
              </w:tabs>
              <w:ind w:right="175"/>
              <w:jc w:val="both"/>
              <w:rPr>
                <w:rFonts w:ascii="Arial" w:hAnsi="Arial" w:cs="Arial"/>
              </w:rPr>
            </w:pPr>
            <w:r>
              <w:rPr>
                <w:rFonts w:ascii="Arial" w:hAnsi="Arial" w:cs="Arial"/>
              </w:rPr>
              <w:t>The PYZ is to offer young people the chance to learn n</w:t>
            </w:r>
            <w:r>
              <w:rPr>
                <w:rFonts w:ascii="Arial" w:hAnsi="Arial" w:cs="Arial"/>
              </w:rPr>
              <w:t xml:space="preserve">ew skills, make new friends, and develop their own interests, as well as having the right access to the information, support and guidance they may need to develop their lives. </w:t>
            </w:r>
          </w:p>
          <w:p w:rsidR="00E57FEC" w:rsidP="00AB4B90">
            <w:pPr>
              <w:tabs>
                <w:tab w:val="left" w:pos="0"/>
                <w:tab w:val="left" w:pos="993"/>
              </w:tabs>
              <w:ind w:right="175"/>
              <w:jc w:val="both"/>
              <w:rPr>
                <w:rFonts w:ascii="Arial" w:hAnsi="Arial" w:cs="Arial"/>
              </w:rPr>
            </w:pPr>
          </w:p>
          <w:p w:rsidR="00BD33EC" w:rsidP="00AB4B90">
            <w:pPr>
              <w:tabs>
                <w:tab w:val="left" w:pos="0"/>
                <w:tab w:val="left" w:pos="993"/>
              </w:tabs>
              <w:ind w:right="175"/>
              <w:jc w:val="both"/>
              <w:rPr>
                <w:rFonts w:ascii="Arial" w:hAnsi="Arial" w:cs="Arial"/>
              </w:rPr>
            </w:pPr>
            <w:r>
              <w:rPr>
                <w:rFonts w:ascii="Arial" w:hAnsi="Arial" w:cs="Arial"/>
              </w:rPr>
              <w:t>Following construction of the building which will host the PYZ</w:t>
            </w:r>
            <w:r>
              <w:rPr>
                <w:rFonts w:ascii="Arial" w:hAnsi="Arial" w:cs="Arial"/>
              </w:rPr>
              <w:t xml:space="preserve"> and YOT</w:t>
            </w:r>
            <w:r>
              <w:rPr>
                <w:rFonts w:ascii="Arial" w:hAnsi="Arial" w:cs="Arial"/>
              </w:rPr>
              <w:t>, the Co</w:t>
            </w:r>
            <w:r>
              <w:rPr>
                <w:rFonts w:ascii="Arial" w:hAnsi="Arial" w:cs="Arial"/>
              </w:rPr>
              <w:t xml:space="preserve">uncil intends to lease the building at a peppercorn rent to an Operator for up to a maximum period of </w:t>
            </w:r>
            <w:r w:rsidRPr="00010E10">
              <w:rPr>
                <w:rFonts w:ascii="Arial" w:hAnsi="Arial" w:cs="Arial"/>
              </w:rPr>
              <w:t>25 years</w:t>
            </w:r>
            <w:r>
              <w:rPr>
                <w:rFonts w:ascii="Arial" w:hAnsi="Arial" w:cs="Arial"/>
              </w:rPr>
              <w:t xml:space="preserve">. The Council has previously made a commitment to provide a revenue contribution of £150k p.a. for an implied initial period of </w:t>
            </w:r>
            <w:r>
              <w:rPr>
                <w:rFonts w:ascii="Arial" w:hAnsi="Arial" w:cs="Arial"/>
                <w:b/>
              </w:rPr>
              <w:t>10</w:t>
            </w:r>
            <w:r w:rsidRPr="00BD33EC">
              <w:rPr>
                <w:rFonts w:ascii="Arial" w:hAnsi="Arial" w:cs="Arial"/>
                <w:b/>
              </w:rPr>
              <w:t xml:space="preserve"> years</w:t>
            </w:r>
            <w:r>
              <w:rPr>
                <w:rFonts w:ascii="Arial" w:hAnsi="Arial" w:cs="Arial"/>
              </w:rPr>
              <w:t>. Tenderer</w:t>
            </w:r>
            <w:r>
              <w:rPr>
                <w:rFonts w:ascii="Arial" w:hAnsi="Arial" w:cs="Arial"/>
              </w:rPr>
              <w:t xml:space="preserve">s will score higher marks in the financial evaluation if their financial model reduces this contribution amount. </w:t>
            </w:r>
          </w:p>
          <w:p w:rsidR="00BD33EC" w:rsidP="00AB4B90">
            <w:pPr>
              <w:tabs>
                <w:tab w:val="left" w:pos="0"/>
                <w:tab w:val="left" w:pos="993"/>
              </w:tabs>
              <w:ind w:right="175"/>
              <w:jc w:val="both"/>
              <w:rPr>
                <w:rFonts w:ascii="Arial" w:hAnsi="Arial" w:cs="Arial"/>
              </w:rPr>
            </w:pPr>
          </w:p>
          <w:p w:rsidR="001A0D50" w:rsidP="00AB4B90">
            <w:pPr>
              <w:tabs>
                <w:tab w:val="left" w:pos="0"/>
                <w:tab w:val="left" w:pos="993"/>
              </w:tabs>
              <w:ind w:right="175"/>
              <w:jc w:val="both"/>
              <w:rPr>
                <w:rFonts w:ascii="Arial" w:hAnsi="Arial" w:cs="Arial"/>
              </w:rPr>
            </w:pPr>
            <w:r>
              <w:rPr>
                <w:rFonts w:ascii="Arial" w:hAnsi="Arial" w:cs="Arial"/>
              </w:rPr>
              <w:t>The Operator will take on the operational and financial risk associated with delivering the PYZ. It is envisaged that they will need to secur</w:t>
            </w:r>
            <w:r>
              <w:rPr>
                <w:rFonts w:ascii="Arial" w:hAnsi="Arial" w:cs="Arial"/>
              </w:rPr>
              <w:t>e private sector contributions from sponsors, arrange contributions from other public sector partners, as well as charging a fee for young people to access the activities to cover costs.</w:t>
            </w:r>
          </w:p>
          <w:p w:rsidR="001A0D50" w:rsidP="00AB4B90">
            <w:pPr>
              <w:tabs>
                <w:tab w:val="left" w:pos="0"/>
                <w:tab w:val="left" w:pos="993"/>
              </w:tabs>
              <w:ind w:right="175"/>
              <w:jc w:val="both"/>
              <w:rPr>
                <w:rFonts w:ascii="Arial" w:hAnsi="Arial" w:cs="Arial"/>
              </w:rPr>
            </w:pPr>
          </w:p>
          <w:p w:rsidR="00464DA5" w:rsidP="00AB4B90">
            <w:pPr>
              <w:tabs>
                <w:tab w:val="left" w:pos="0"/>
                <w:tab w:val="left" w:pos="993"/>
              </w:tabs>
              <w:ind w:right="175"/>
              <w:jc w:val="both"/>
              <w:rPr>
                <w:rFonts w:ascii="Arial" w:hAnsi="Arial" w:cs="Arial"/>
              </w:rPr>
            </w:pPr>
            <w:r>
              <w:rPr>
                <w:rFonts w:ascii="Arial" w:hAnsi="Arial" w:cs="Arial"/>
              </w:rPr>
              <w:t xml:space="preserve">The Operator will also need to provide a capital contribution of £1 </w:t>
            </w:r>
            <w:r>
              <w:rPr>
                <w:rFonts w:ascii="Arial" w:hAnsi="Arial" w:cs="Arial"/>
              </w:rPr>
              <w:t>million towards the construction costs of building the PYZ.</w:t>
            </w:r>
          </w:p>
          <w:p w:rsidR="00464DA5" w:rsidP="00AB4B90">
            <w:pPr>
              <w:tabs>
                <w:tab w:val="left" w:pos="0"/>
                <w:tab w:val="left" w:pos="993"/>
              </w:tabs>
              <w:ind w:right="175"/>
              <w:jc w:val="both"/>
              <w:rPr>
                <w:rFonts w:ascii="Arial" w:hAnsi="Arial" w:cs="Arial"/>
              </w:rPr>
            </w:pPr>
          </w:p>
          <w:p w:rsidR="001A0D50" w:rsidP="00AB4B90">
            <w:pPr>
              <w:tabs>
                <w:tab w:val="left" w:pos="0"/>
                <w:tab w:val="left" w:pos="993"/>
              </w:tabs>
              <w:ind w:right="175"/>
              <w:jc w:val="both"/>
              <w:rPr>
                <w:rFonts w:ascii="Arial" w:hAnsi="Arial" w:cs="Arial"/>
              </w:rPr>
            </w:pPr>
            <w:r>
              <w:rPr>
                <w:rFonts w:ascii="Arial" w:hAnsi="Arial" w:cs="Arial"/>
              </w:rPr>
              <w:t xml:space="preserve">In addition to the </w:t>
            </w:r>
            <w:bookmarkStart w:id="0" w:name="_GoBack"/>
            <w:bookmarkEnd w:id="0"/>
            <w:r>
              <w:rPr>
                <w:rFonts w:ascii="Arial" w:hAnsi="Arial" w:cs="Arial"/>
              </w:rPr>
              <w:t xml:space="preserve">State Aid </w:t>
            </w:r>
            <w:r>
              <w:rPr>
                <w:rFonts w:ascii="Arial" w:hAnsi="Arial" w:cs="Arial"/>
              </w:rPr>
              <w:t>exemptions, a</w:t>
            </w:r>
            <w:r>
              <w:rPr>
                <w:rFonts w:ascii="Arial" w:hAnsi="Arial" w:cs="Arial"/>
              </w:rPr>
              <w:t>n Operator cannot be directly awarded the contract without contravening EU Public Procurement Rules. As such, there is a requirement to undertake a ten</w:t>
            </w:r>
            <w:r>
              <w:rPr>
                <w:rFonts w:ascii="Arial" w:hAnsi="Arial" w:cs="Arial"/>
              </w:rPr>
              <w:t xml:space="preserve">dering exercise to invite bids from interested parties. </w:t>
            </w:r>
          </w:p>
          <w:p w:rsidR="00D44090" w:rsidP="00362328">
            <w:pPr>
              <w:tabs>
                <w:tab w:val="left" w:pos="0"/>
                <w:tab w:val="left" w:pos="993"/>
              </w:tabs>
              <w:ind w:right="175"/>
              <w:jc w:val="both"/>
              <w:rPr>
                <w:rFonts w:ascii="Arial" w:hAnsi="Arial" w:cs="Arial"/>
              </w:rPr>
            </w:pPr>
          </w:p>
          <w:p w:rsidR="00D44090" w:rsidRPr="00D44090" w:rsidP="00362328">
            <w:pPr>
              <w:tabs>
                <w:tab w:val="left" w:pos="0"/>
                <w:tab w:val="left" w:pos="993"/>
              </w:tabs>
              <w:ind w:right="175"/>
              <w:jc w:val="both"/>
              <w:rPr>
                <w:rFonts w:ascii="Arial" w:hAnsi="Arial" w:cs="Arial"/>
                <w:b/>
              </w:rPr>
            </w:pPr>
            <w:r w:rsidRPr="00D44090">
              <w:rPr>
                <w:rFonts w:ascii="Arial" w:hAnsi="Arial" w:cs="Arial"/>
                <w:b/>
              </w:rPr>
              <w:t xml:space="preserve">Universal offer </w:t>
            </w:r>
          </w:p>
          <w:p w:rsidR="00D44090" w:rsidP="00362328">
            <w:pPr>
              <w:tabs>
                <w:tab w:val="left" w:pos="0"/>
                <w:tab w:val="left" w:pos="993"/>
              </w:tabs>
              <w:ind w:right="175"/>
              <w:jc w:val="both"/>
              <w:rPr>
                <w:rFonts w:ascii="Arial" w:hAnsi="Arial" w:cs="Arial"/>
              </w:rPr>
            </w:pPr>
          </w:p>
          <w:p w:rsidR="00D44090" w:rsidP="00362328">
            <w:pPr>
              <w:tabs>
                <w:tab w:val="left" w:pos="0"/>
                <w:tab w:val="left" w:pos="993"/>
              </w:tabs>
              <w:ind w:right="175"/>
              <w:jc w:val="both"/>
              <w:rPr>
                <w:rFonts w:ascii="Arial" w:hAnsi="Arial" w:cs="Arial"/>
              </w:rPr>
            </w:pPr>
            <w:r>
              <w:rPr>
                <w:rFonts w:ascii="Arial" w:hAnsi="Arial" w:cs="Arial"/>
              </w:rPr>
              <w:t>The PYZ must be open to young people from 8-19 years of age (and up to 25 year</w:t>
            </w:r>
            <w:r>
              <w:rPr>
                <w:rFonts w:ascii="Arial" w:hAnsi="Arial" w:cs="Arial"/>
              </w:rPr>
              <w:t xml:space="preserve">s of age for those with a disability). </w:t>
            </w:r>
          </w:p>
          <w:p w:rsidR="00D44090" w:rsidP="00362328">
            <w:pPr>
              <w:tabs>
                <w:tab w:val="left" w:pos="0"/>
                <w:tab w:val="left" w:pos="993"/>
              </w:tabs>
              <w:ind w:right="175"/>
              <w:jc w:val="both"/>
              <w:rPr>
                <w:rFonts w:ascii="Arial" w:hAnsi="Arial" w:cs="Arial"/>
              </w:rPr>
            </w:pPr>
          </w:p>
          <w:p w:rsidR="00D44090" w:rsidP="00362328">
            <w:pPr>
              <w:tabs>
                <w:tab w:val="left" w:pos="0"/>
                <w:tab w:val="left" w:pos="993"/>
              </w:tabs>
              <w:ind w:right="175"/>
              <w:jc w:val="both"/>
              <w:rPr>
                <w:rFonts w:ascii="Arial" w:hAnsi="Arial" w:cs="Arial"/>
              </w:rPr>
            </w:pPr>
            <w:r>
              <w:rPr>
                <w:rFonts w:ascii="Arial" w:hAnsi="Arial" w:cs="Arial"/>
              </w:rPr>
              <w:t xml:space="preserve">PYZ must be affordable for all. Charging users may take the form of a membership fee, per session fee, or a combination of both, or none at all. </w:t>
            </w:r>
          </w:p>
          <w:p w:rsidR="00D44090" w:rsidP="00362328">
            <w:pPr>
              <w:tabs>
                <w:tab w:val="left" w:pos="0"/>
                <w:tab w:val="left" w:pos="993"/>
              </w:tabs>
              <w:ind w:right="175"/>
              <w:jc w:val="both"/>
              <w:rPr>
                <w:rFonts w:ascii="Arial" w:hAnsi="Arial" w:cs="Arial"/>
              </w:rPr>
            </w:pPr>
          </w:p>
          <w:p w:rsidR="00F016B3" w:rsidP="00362328">
            <w:pPr>
              <w:tabs>
                <w:tab w:val="left" w:pos="0"/>
                <w:tab w:val="left" w:pos="993"/>
              </w:tabs>
              <w:ind w:right="175"/>
              <w:jc w:val="both"/>
              <w:rPr>
                <w:rFonts w:ascii="Arial" w:hAnsi="Arial" w:cs="Arial"/>
              </w:rPr>
            </w:pPr>
            <w:r>
              <w:rPr>
                <w:rFonts w:ascii="Arial" w:hAnsi="Arial" w:cs="Arial"/>
              </w:rPr>
              <w:t xml:space="preserve">Activities to be provided include: </w:t>
            </w:r>
          </w:p>
          <w:p w:rsidR="00442D10" w:rsidP="00362328">
            <w:pPr>
              <w:tabs>
                <w:tab w:val="left" w:pos="0"/>
                <w:tab w:val="left" w:pos="993"/>
              </w:tabs>
              <w:ind w:right="175"/>
              <w:jc w:val="both"/>
              <w:rPr>
                <w:rFonts w:ascii="Arial" w:hAnsi="Arial" w:cs="Arial"/>
              </w:rPr>
            </w:pPr>
          </w:p>
          <w:p w:rsidR="006E2186" w:rsidRPr="00892CFD" w:rsidP="00362328">
            <w:pPr>
              <w:pStyle w:val="ListParagraph"/>
              <w:numPr>
                <w:ilvl w:val="0"/>
                <w:numId w:val="4"/>
              </w:numPr>
              <w:tabs>
                <w:tab w:val="left" w:pos="0"/>
                <w:tab w:val="left" w:pos="993"/>
              </w:tabs>
              <w:ind w:right="175"/>
              <w:jc w:val="both"/>
              <w:rPr>
                <w:rFonts w:ascii="Arial" w:hAnsi="Arial" w:cs="Arial"/>
              </w:rPr>
            </w:pPr>
            <w:r>
              <w:rPr>
                <w:rFonts w:ascii="Arial" w:hAnsi="Arial" w:cs="Arial"/>
              </w:rPr>
              <w:t>a</w:t>
            </w:r>
            <w:r w:rsidRPr="00F016B3">
              <w:rPr>
                <w:rFonts w:ascii="Arial" w:hAnsi="Arial" w:cs="Arial"/>
              </w:rPr>
              <w:t xml:space="preserve"> wide range of sports and physical activities, both onsite and offsite. This may include (but is not limited to) football, badminton, netball, basketball, cricket, climbing, martial arts, boxing, fitness, walking, hiking, and watersports</w:t>
            </w:r>
            <w:r>
              <w:rPr>
                <w:rFonts w:ascii="Arial" w:hAnsi="Arial" w:cs="Arial"/>
              </w:rPr>
              <w:t>;</w:t>
            </w:r>
          </w:p>
          <w:p w:rsidR="00F016B3" w:rsidRPr="00892CFD" w:rsidP="00362328">
            <w:pPr>
              <w:pStyle w:val="ListParagraph"/>
              <w:numPr>
                <w:ilvl w:val="0"/>
                <w:numId w:val="4"/>
              </w:numPr>
              <w:tabs>
                <w:tab w:val="left" w:pos="0"/>
                <w:tab w:val="left" w:pos="993"/>
              </w:tabs>
              <w:ind w:right="175"/>
              <w:jc w:val="both"/>
              <w:rPr>
                <w:rFonts w:ascii="Arial" w:hAnsi="Arial" w:cs="Arial"/>
              </w:rPr>
            </w:pPr>
            <w:r>
              <w:rPr>
                <w:rFonts w:ascii="Arial" w:hAnsi="Arial" w:cs="Arial"/>
              </w:rPr>
              <w:t>s</w:t>
            </w:r>
            <w:r w:rsidRPr="00F016B3">
              <w:rPr>
                <w:rFonts w:ascii="Arial" w:hAnsi="Arial" w:cs="Arial"/>
              </w:rPr>
              <w:t>essions are to b</w:t>
            </w:r>
            <w:r w:rsidRPr="00F016B3">
              <w:rPr>
                <w:rFonts w:ascii="Arial" w:hAnsi="Arial" w:cs="Arial"/>
              </w:rPr>
              <w:t>e available for all skill/aptitude/engagements levels from 'having a go' to developing sk</w:t>
            </w:r>
            <w:r>
              <w:rPr>
                <w:rFonts w:ascii="Arial" w:hAnsi="Arial" w:cs="Arial"/>
              </w:rPr>
              <w:t>ills and engaging competitively; and</w:t>
            </w:r>
          </w:p>
          <w:p w:rsidR="00F016B3" w:rsidP="00362328">
            <w:pPr>
              <w:pStyle w:val="ListParagraph"/>
              <w:numPr>
                <w:ilvl w:val="0"/>
                <w:numId w:val="4"/>
              </w:numPr>
              <w:tabs>
                <w:tab w:val="left" w:pos="0"/>
                <w:tab w:val="left" w:pos="993"/>
              </w:tabs>
              <w:ind w:right="175"/>
              <w:jc w:val="both"/>
              <w:rPr>
                <w:rFonts w:ascii="Arial" w:hAnsi="Arial" w:cs="Arial"/>
              </w:rPr>
            </w:pPr>
            <w:r>
              <w:rPr>
                <w:rFonts w:ascii="Arial" w:hAnsi="Arial" w:cs="Arial"/>
              </w:rPr>
              <w:t>a broad range of arts and media activities and opportunities such as dance, film, and music creation, plus art and craft workshops</w:t>
            </w:r>
            <w:r>
              <w:rPr>
                <w:rFonts w:ascii="Arial" w:hAnsi="Arial" w:cs="Arial"/>
              </w:rPr>
              <w:t>.</w:t>
            </w:r>
          </w:p>
          <w:p w:rsidR="00F016B3" w:rsidRPr="00F016B3" w:rsidP="00362328">
            <w:pPr>
              <w:pStyle w:val="ListParagraph"/>
              <w:ind w:right="175"/>
              <w:rPr>
                <w:rFonts w:ascii="Arial" w:hAnsi="Arial" w:cs="Arial"/>
              </w:rPr>
            </w:pPr>
          </w:p>
          <w:p w:rsidR="00F016B3" w:rsidP="00362328">
            <w:pPr>
              <w:tabs>
                <w:tab w:val="left" w:pos="0"/>
                <w:tab w:val="left" w:pos="993"/>
              </w:tabs>
              <w:ind w:right="175"/>
              <w:jc w:val="both"/>
              <w:rPr>
                <w:rFonts w:ascii="Arial" w:hAnsi="Arial" w:cs="Arial"/>
              </w:rPr>
            </w:pPr>
            <w:r>
              <w:rPr>
                <w:rFonts w:ascii="Arial" w:hAnsi="Arial" w:cs="Arial"/>
              </w:rPr>
              <w:t>It is also intended that PYZ link in with existing services in the area to offer support and access to information, advice and guidance for young people in relation to:</w:t>
            </w:r>
          </w:p>
          <w:p w:rsidR="00F016B3" w:rsidP="00362328">
            <w:pPr>
              <w:tabs>
                <w:tab w:val="left" w:pos="0"/>
                <w:tab w:val="left" w:pos="993"/>
              </w:tabs>
              <w:ind w:right="175"/>
              <w:jc w:val="both"/>
              <w:rPr>
                <w:rFonts w:ascii="Arial" w:hAnsi="Arial" w:cs="Arial"/>
              </w:rPr>
            </w:pPr>
          </w:p>
          <w:p w:rsidR="00F016B3" w:rsidP="00362328">
            <w:pPr>
              <w:pStyle w:val="ListParagraph"/>
              <w:numPr>
                <w:ilvl w:val="0"/>
                <w:numId w:val="4"/>
              </w:numPr>
              <w:tabs>
                <w:tab w:val="left" w:pos="0"/>
                <w:tab w:val="left" w:pos="993"/>
              </w:tabs>
              <w:ind w:right="175"/>
              <w:jc w:val="both"/>
              <w:rPr>
                <w:rFonts w:ascii="Arial" w:hAnsi="Arial" w:cs="Arial"/>
              </w:rPr>
            </w:pPr>
            <w:r>
              <w:rPr>
                <w:rFonts w:ascii="Arial" w:hAnsi="Arial" w:cs="Arial"/>
              </w:rPr>
              <w:t>personal health and wellbeing issues including sexual health, relationships, stress</w:t>
            </w:r>
            <w:r>
              <w:rPr>
                <w:rFonts w:ascii="Arial" w:hAnsi="Arial" w:cs="Arial"/>
              </w:rPr>
              <w:t>, drugs, and alcohol;</w:t>
            </w:r>
          </w:p>
          <w:p w:rsidR="00F016B3" w:rsidP="00362328">
            <w:pPr>
              <w:pStyle w:val="ListParagraph"/>
              <w:numPr>
                <w:ilvl w:val="0"/>
                <w:numId w:val="4"/>
              </w:numPr>
              <w:tabs>
                <w:tab w:val="left" w:pos="0"/>
                <w:tab w:val="left" w:pos="993"/>
              </w:tabs>
              <w:ind w:right="175"/>
              <w:jc w:val="both"/>
              <w:rPr>
                <w:rFonts w:ascii="Arial" w:hAnsi="Arial" w:cs="Arial"/>
              </w:rPr>
            </w:pPr>
            <w:r>
              <w:rPr>
                <w:rFonts w:ascii="Arial" w:hAnsi="Arial" w:cs="Arial"/>
              </w:rPr>
              <w:t>mentoring for those who need individual, targeted support;</w:t>
            </w:r>
          </w:p>
          <w:p w:rsidR="00892CFD" w:rsidP="00362328">
            <w:pPr>
              <w:pStyle w:val="ListParagraph"/>
              <w:numPr>
                <w:ilvl w:val="0"/>
                <w:numId w:val="4"/>
              </w:numPr>
              <w:tabs>
                <w:tab w:val="left" w:pos="0"/>
                <w:tab w:val="left" w:pos="993"/>
              </w:tabs>
              <w:ind w:right="175"/>
              <w:jc w:val="both"/>
              <w:rPr>
                <w:rFonts w:ascii="Arial" w:hAnsi="Arial" w:cs="Arial"/>
              </w:rPr>
            </w:pPr>
            <w:r>
              <w:rPr>
                <w:rFonts w:ascii="Arial" w:hAnsi="Arial" w:cs="Arial"/>
              </w:rPr>
              <w:t>developing leadership skills to encourage participation in the running of PYZ and having a clearer voice in the wider community;</w:t>
            </w:r>
          </w:p>
          <w:p w:rsidR="00892CFD" w:rsidP="00362328">
            <w:pPr>
              <w:pStyle w:val="ListParagraph"/>
              <w:numPr>
                <w:ilvl w:val="0"/>
                <w:numId w:val="4"/>
              </w:numPr>
              <w:tabs>
                <w:tab w:val="left" w:pos="0"/>
                <w:tab w:val="left" w:pos="993"/>
              </w:tabs>
              <w:ind w:right="175"/>
              <w:jc w:val="both"/>
              <w:rPr>
                <w:rFonts w:ascii="Arial" w:hAnsi="Arial" w:cs="Arial"/>
              </w:rPr>
            </w:pPr>
            <w:r>
              <w:rPr>
                <w:rFonts w:ascii="Arial" w:hAnsi="Arial" w:cs="Arial"/>
              </w:rPr>
              <w:t>employment skills and engagement with partners</w:t>
            </w:r>
            <w:r>
              <w:rPr>
                <w:rFonts w:ascii="Arial" w:hAnsi="Arial" w:cs="Arial"/>
              </w:rPr>
              <w:t xml:space="preserve"> and local businesses;</w:t>
            </w:r>
          </w:p>
          <w:p w:rsidR="00892CFD" w:rsidP="00362328">
            <w:pPr>
              <w:pStyle w:val="ListParagraph"/>
              <w:numPr>
                <w:ilvl w:val="0"/>
                <w:numId w:val="4"/>
              </w:numPr>
              <w:tabs>
                <w:tab w:val="left" w:pos="0"/>
                <w:tab w:val="left" w:pos="993"/>
              </w:tabs>
              <w:ind w:right="175"/>
              <w:jc w:val="both"/>
              <w:rPr>
                <w:rFonts w:ascii="Arial" w:hAnsi="Arial" w:cs="Arial"/>
              </w:rPr>
            </w:pPr>
            <w:r>
              <w:rPr>
                <w:rFonts w:ascii="Arial" w:hAnsi="Arial" w:cs="Arial"/>
              </w:rPr>
              <w:t>housing and homelessness issues; and</w:t>
            </w:r>
          </w:p>
          <w:p w:rsidR="00892CFD" w:rsidP="00362328">
            <w:pPr>
              <w:pStyle w:val="ListParagraph"/>
              <w:numPr>
                <w:ilvl w:val="0"/>
                <w:numId w:val="4"/>
              </w:numPr>
              <w:tabs>
                <w:tab w:val="left" w:pos="0"/>
                <w:tab w:val="left" w:pos="993"/>
              </w:tabs>
              <w:ind w:right="175"/>
              <w:jc w:val="both"/>
              <w:rPr>
                <w:rFonts w:ascii="Arial" w:hAnsi="Arial" w:cs="Arial"/>
              </w:rPr>
            </w:pPr>
            <w:r>
              <w:rPr>
                <w:rFonts w:ascii="Arial" w:hAnsi="Arial" w:cs="Arial"/>
              </w:rPr>
              <w:t xml:space="preserve">help and support for young people who have been 'in care' in Lancashire. </w:t>
            </w:r>
          </w:p>
          <w:p w:rsidR="00892CFD" w:rsidP="00362328">
            <w:pPr>
              <w:tabs>
                <w:tab w:val="left" w:pos="0"/>
                <w:tab w:val="left" w:pos="993"/>
              </w:tabs>
              <w:ind w:right="175"/>
              <w:jc w:val="both"/>
              <w:rPr>
                <w:rFonts w:ascii="Arial" w:hAnsi="Arial" w:cs="Arial"/>
              </w:rPr>
            </w:pPr>
          </w:p>
          <w:p w:rsidR="00DF47E8" w:rsidP="00362328">
            <w:pPr>
              <w:tabs>
                <w:tab w:val="left" w:pos="0"/>
                <w:tab w:val="left" w:pos="993"/>
              </w:tabs>
              <w:ind w:right="175"/>
              <w:jc w:val="both"/>
              <w:rPr>
                <w:rFonts w:ascii="Arial" w:hAnsi="Arial" w:cs="Arial"/>
                <w:b/>
              </w:rPr>
            </w:pPr>
            <w:r>
              <w:rPr>
                <w:rFonts w:ascii="Arial" w:hAnsi="Arial" w:cs="Arial"/>
              </w:rPr>
              <w:t>The procurement exercise will require tenderers to demonstrate a sustainable operating model which will provide assurance</w:t>
            </w:r>
            <w:r>
              <w:rPr>
                <w:rFonts w:ascii="Arial" w:hAnsi="Arial" w:cs="Arial"/>
              </w:rPr>
              <w:t xml:space="preserve"> that PYZ will operate for a minimum of </w:t>
            </w:r>
            <w:r w:rsidRPr="00362328">
              <w:rPr>
                <w:rFonts w:ascii="Arial" w:hAnsi="Arial" w:cs="Arial"/>
              </w:rPr>
              <w:t>10 years.</w:t>
            </w:r>
          </w:p>
          <w:p w:rsidR="00F016B3" w:rsidRPr="00CD2AB0" w:rsidP="00077548">
            <w:pPr>
              <w:tabs>
                <w:tab w:val="left" w:pos="0"/>
                <w:tab w:val="left" w:pos="993"/>
              </w:tabs>
              <w:ind w:right="-154"/>
              <w:jc w:val="both"/>
              <w:rPr>
                <w:rFonts w:ascii="Arial" w:hAnsi="Arial" w:cs="Arial"/>
                <w:sz w:val="24"/>
                <w:szCs w:val="24"/>
              </w:rPr>
            </w:pPr>
          </w:p>
        </w:tc>
      </w:tr>
    </w:tbl>
    <w:p w:rsidR="0089604A" w:rsidRPr="004E02A4" w:rsidP="0008573D">
      <w:pPr>
        <w:rPr>
          <w:rFonts w:ascii="Arial" w:hAnsi="Arial" w:cs="Arial"/>
          <w:b/>
          <w:sz w:val="24"/>
          <w:szCs w:val="24"/>
        </w:rPr>
      </w:pPr>
    </w:p>
    <w:sectPr>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73D">
    <w:pPr>
      <w:pStyle w:val="Header"/>
    </w:pPr>
    <w: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03F92741"/>
    <w:multiLevelType w:val="hybridMultilevel"/>
    <w:tmpl w:val="85A489A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
    <w:nsid w:val="235D657E"/>
    <w:multiLevelType w:val="hybridMultilevel"/>
    <w:tmpl w:val="A3740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0585B91"/>
    <w:multiLevelType w:val="multilevel"/>
    <w:tmpl w:val="9D2638BE"/>
    <w:lvl w:ilvl="0">
      <w:start w:val="1"/>
      <w:numFmt w:val="decimal"/>
      <w:pStyle w:val="Heading1"/>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pStyle w:val="Heading2"/>
      <w:lvlText w:val="%1.%2"/>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2">
      <w:start w:val="1"/>
      <w:numFmt w:val="decimal"/>
      <w:pStyle w:val="Heading3"/>
      <w:lvlText w:val="%1.%2.%3"/>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3">
      <w:start w:val="1"/>
      <w:numFmt w:val="decimal"/>
      <w:pStyle w:val="Heading4"/>
      <w:lvlText w:val="%1.%2.%3.%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pStyle w:val="Heading5"/>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pStyle w:val="Heading6"/>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pStyle w:val="Heading7"/>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D1921BE"/>
    <w:multiLevelType w:val="hybridMultilevel"/>
    <w:tmpl w:val="5E5091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043084"/>
    <w:multiLevelType w:val="hybridMultilevel"/>
    <w:tmpl w:val="0F4E74FC"/>
    <w:lvl w:ilvl="0">
      <w:start w:val="0"/>
      <w:numFmt w:val="bullet"/>
      <w:lvlText w:val="-"/>
      <w:lvlJc w:val="left"/>
      <w:pPr>
        <w:ind w:left="420" w:hanging="360"/>
      </w:pPr>
      <w:rPr>
        <w:rFonts w:ascii="Arial" w:eastAsia="Times New Roman" w:hAnsi="Arial" w:cs="Arial"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5">
    <w:nsid w:val="77BF3E6F"/>
    <w:multiLevelType w:val="hybridMultilevel"/>
    <w:tmpl w:val="E7CABD50"/>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qFormat/>
    <w:rsid w:val="00776C04"/>
    <w:pPr>
      <w:keepNext/>
      <w:numPr>
        <w:numId w:val="5"/>
      </w:numPr>
      <w:spacing w:after="180" w:line="300" w:lineRule="atLeast"/>
      <w:jc w:val="both"/>
      <w:outlineLvl w:val="0"/>
    </w:pPr>
    <w:rPr>
      <w:rFonts w:ascii="Arial Bold" w:eastAsia="Times New Roman" w:hAnsi="Arial Bold" w:cs="Times New Roman"/>
      <w:b/>
      <w:kern w:val="28"/>
      <w:sz w:val="20"/>
      <w:szCs w:val="20"/>
      <w:lang w:eastAsia="en-GB"/>
    </w:rPr>
  </w:style>
  <w:style w:type="paragraph" w:styleId="Heading2">
    <w:name w:val="heading 2"/>
    <w:basedOn w:val="Normal"/>
    <w:link w:val="Heading2Char"/>
    <w:qFormat/>
    <w:rsid w:val="00776C04"/>
    <w:pPr>
      <w:numPr>
        <w:ilvl w:val="1"/>
        <w:numId w:val="5"/>
      </w:numPr>
      <w:tabs>
        <w:tab w:val="clear" w:pos="1440"/>
      </w:tabs>
      <w:spacing w:after="180" w:line="300" w:lineRule="atLeast"/>
      <w:ind w:left="720"/>
      <w:jc w:val="both"/>
      <w:outlineLvl w:val="1"/>
    </w:pPr>
    <w:rPr>
      <w:rFonts w:ascii="Arial" w:eastAsia="Times New Roman" w:hAnsi="Arial" w:cs="Times New Roman"/>
      <w:sz w:val="20"/>
      <w:szCs w:val="20"/>
      <w:lang w:eastAsia="en-GB"/>
    </w:rPr>
  </w:style>
  <w:style w:type="paragraph" w:styleId="Heading3">
    <w:name w:val="heading 3"/>
    <w:basedOn w:val="Normal"/>
    <w:link w:val="Heading3Char"/>
    <w:qFormat/>
    <w:rsid w:val="00776C04"/>
    <w:pPr>
      <w:numPr>
        <w:ilvl w:val="2"/>
        <w:numId w:val="5"/>
      </w:numPr>
      <w:spacing w:after="180" w:line="300" w:lineRule="atLeast"/>
      <w:jc w:val="both"/>
      <w:outlineLvl w:val="2"/>
    </w:pPr>
    <w:rPr>
      <w:rFonts w:ascii="Arial" w:eastAsia="Times New Roman" w:hAnsi="Arial" w:cs="Times New Roman"/>
      <w:sz w:val="20"/>
      <w:szCs w:val="20"/>
      <w:lang w:eastAsia="en-GB"/>
    </w:rPr>
  </w:style>
  <w:style w:type="paragraph" w:styleId="Heading4">
    <w:name w:val="heading 4"/>
    <w:basedOn w:val="Normal"/>
    <w:link w:val="Heading4Char"/>
    <w:qFormat/>
    <w:rsid w:val="00776C04"/>
    <w:pPr>
      <w:numPr>
        <w:ilvl w:val="3"/>
        <w:numId w:val="5"/>
      </w:numPr>
      <w:spacing w:after="180" w:line="300" w:lineRule="atLeast"/>
      <w:jc w:val="both"/>
      <w:outlineLvl w:val="3"/>
    </w:pPr>
    <w:rPr>
      <w:rFonts w:ascii="Arial" w:eastAsia="Times New Roman" w:hAnsi="Arial" w:cs="Times New Roman"/>
      <w:sz w:val="20"/>
      <w:szCs w:val="20"/>
      <w:lang w:eastAsia="en-GB"/>
    </w:rPr>
  </w:style>
  <w:style w:type="paragraph" w:styleId="Heading5">
    <w:name w:val="heading 5"/>
    <w:basedOn w:val="Normal"/>
    <w:link w:val="Heading5Char"/>
    <w:qFormat/>
    <w:rsid w:val="00776C04"/>
    <w:pPr>
      <w:numPr>
        <w:ilvl w:val="4"/>
        <w:numId w:val="5"/>
      </w:numPr>
      <w:spacing w:after="180" w:line="300" w:lineRule="atLeast"/>
      <w:jc w:val="both"/>
      <w:outlineLvl w:val="4"/>
    </w:pPr>
    <w:rPr>
      <w:rFonts w:ascii="Arial" w:eastAsia="Times New Roman" w:hAnsi="Arial" w:cs="Times New Roman"/>
      <w:sz w:val="20"/>
      <w:szCs w:val="20"/>
      <w:lang w:eastAsia="en-GB"/>
    </w:rPr>
  </w:style>
  <w:style w:type="paragraph" w:styleId="Heading6">
    <w:name w:val="heading 6"/>
    <w:basedOn w:val="Normal"/>
    <w:link w:val="Heading6Char"/>
    <w:qFormat/>
    <w:rsid w:val="00776C04"/>
    <w:pPr>
      <w:numPr>
        <w:ilvl w:val="5"/>
        <w:numId w:val="5"/>
      </w:numPr>
      <w:spacing w:after="180" w:line="300" w:lineRule="atLeast"/>
      <w:jc w:val="both"/>
      <w:outlineLvl w:val="5"/>
    </w:pPr>
    <w:rPr>
      <w:rFonts w:ascii="Arial" w:eastAsia="Times New Roman" w:hAnsi="Arial" w:cs="Times New Roman"/>
      <w:sz w:val="20"/>
      <w:szCs w:val="20"/>
      <w:lang w:eastAsia="en-GB"/>
    </w:rPr>
  </w:style>
  <w:style w:type="paragraph" w:styleId="Heading7">
    <w:name w:val="heading 7"/>
    <w:basedOn w:val="Normal"/>
    <w:next w:val="Normal"/>
    <w:link w:val="Heading7Char"/>
    <w:rsid w:val="00776C04"/>
    <w:pPr>
      <w:numPr>
        <w:ilvl w:val="6"/>
        <w:numId w:val="5"/>
      </w:numPr>
      <w:spacing w:after="180" w:line="300" w:lineRule="atLeast"/>
      <w:jc w:val="both"/>
      <w:outlineLvl w:val="6"/>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character" w:styleId="CommentReference">
    <w:name w:val="annotation reference"/>
    <w:basedOn w:val="DefaultParagraphFont"/>
    <w:uiPriority w:val="99"/>
    <w:rsid w:val="002A54BB"/>
    <w:rPr>
      <w:sz w:val="16"/>
      <w:szCs w:val="16"/>
    </w:rPr>
  </w:style>
  <w:style w:type="paragraph" w:styleId="CommentText">
    <w:name w:val="annotation text"/>
    <w:basedOn w:val="Normal"/>
    <w:link w:val="CommentTextChar"/>
    <w:uiPriority w:val="99"/>
    <w:rsid w:val="002A54BB"/>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2A54B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A5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BB"/>
    <w:rPr>
      <w:rFonts w:ascii="Segoe UI" w:hAnsi="Segoe UI" w:cs="Segoe UI"/>
      <w:sz w:val="18"/>
      <w:szCs w:val="18"/>
    </w:rPr>
  </w:style>
  <w:style w:type="paragraph" w:styleId="ListParagraph">
    <w:name w:val="List Paragraph"/>
    <w:basedOn w:val="Normal"/>
    <w:uiPriority w:val="34"/>
    <w:qFormat/>
    <w:rsid w:val="009C64EE"/>
    <w:pPr>
      <w:ind w:left="720"/>
      <w:contextualSpacing/>
    </w:pPr>
  </w:style>
  <w:style w:type="paragraph" w:styleId="CommentSubject">
    <w:name w:val="annotation subject"/>
    <w:basedOn w:val="CommentText"/>
    <w:next w:val="CommentText"/>
    <w:link w:val="CommentSubjectChar"/>
    <w:uiPriority w:val="99"/>
    <w:semiHidden/>
    <w:unhideWhenUsed/>
    <w:rsid w:val="007F1E7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E77"/>
    <w:rPr>
      <w:rFonts w:ascii="Arial" w:eastAsia="Times New Roman" w:hAnsi="Arial" w:cs="Times New Roman"/>
      <w:b/>
      <w:bCs/>
      <w:sz w:val="20"/>
      <w:szCs w:val="20"/>
    </w:rPr>
  </w:style>
  <w:style w:type="character" w:customStyle="1" w:styleId="Heading1Char">
    <w:name w:val="Heading 1 Char"/>
    <w:basedOn w:val="DefaultParagraphFont"/>
    <w:link w:val="Heading1"/>
    <w:rsid w:val="00776C04"/>
    <w:rPr>
      <w:rFonts w:ascii="Arial Bold" w:eastAsia="Times New Roman" w:hAnsi="Arial Bold" w:cs="Times New Roman"/>
      <w:b/>
      <w:kern w:val="28"/>
      <w:sz w:val="20"/>
      <w:szCs w:val="20"/>
      <w:lang w:eastAsia="en-GB"/>
    </w:rPr>
  </w:style>
  <w:style w:type="character" w:customStyle="1" w:styleId="Heading2Char">
    <w:name w:val="Heading 2 Char"/>
    <w:basedOn w:val="DefaultParagraphFont"/>
    <w:link w:val="Heading2"/>
    <w:rsid w:val="00776C04"/>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776C04"/>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776C04"/>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776C04"/>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776C04"/>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776C04"/>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Tanner, Rachel</cp:lastModifiedBy>
  <cp:revision>6</cp:revision>
  <cp:lastPrinted>2017-06-06T12:12:00Z</cp:lastPrinted>
  <dcterms:created xsi:type="dcterms:W3CDTF">2017-07-10T08:03:00Z</dcterms:created>
  <dcterms:modified xsi:type="dcterms:W3CDTF">2017-07-21T07:21:00Z</dcterms:modified>
</cp:coreProperties>
</file>